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CATEDRA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Științe Politice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Relații Internaționale și Studii Europene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RISE, SP</w:t>
      </w:r>
      <w:r w:rsidDel="00000000" w:rsidR="00000000" w:rsidRPr="00000000">
        <w:rPr>
          <w:rtl w:val="0"/>
        </w:rPr>
      </w:r>
    </w:p>
    <w:p w:rsidR="00000000" w:rsidDel="00000000" w:rsidP="00000000" w:rsidRDefault="00000000" w:rsidRPr="00000000" w14:paraId="00000008">
      <w:pPr>
        <w:ind w:left="6564" w:firstLine="0"/>
        <w:rPr/>
      </w:pPr>
      <w:r w:rsidDel="00000000" w:rsidR="00000000" w:rsidRPr="00000000">
        <w:rPr>
          <w:rtl w:val="0"/>
        </w:rPr>
      </w:r>
    </w:p>
    <w:p w:rsidR="00000000" w:rsidDel="00000000" w:rsidP="00000000" w:rsidRDefault="00000000" w:rsidRPr="00000000" w14:paraId="00000009">
      <w:pPr>
        <w:jc w:val="cente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C">
      <w:pPr>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 Gîndire critică şi scriere academică </w:t>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1</w:t>
      </w: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1</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Coordonator seminar:</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i w:val="1"/>
          <w:iCs w:val="1"/>
          <w:color w:val="000000"/>
          <w:rtl w:val="0"/>
        </w:rPr>
        <w:t xml:space="preserve">Conf. Univ. Dr. Brînduşa Palade </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S=14, SI=36</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2</w:t>
            </w:r>
          </w:p>
        </w:tc>
      </w:tr>
    </w:tbl>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A. OBIECTIVELE DISCIPLINEI</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i w:val="1"/>
          <w:iCs w:val="1"/>
          <w:color w:val="000000"/>
          <w:rtl w:val="0"/>
        </w:rPr>
        <w:t xml:space="preserve">Obiectivele sunt formulate în termeni de competențe profesionale</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F">
      <w:pPr>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„Gândire critică și scriere academică” urmărește dezvoltarea competențelor asociate cu gândirea critică, precum și familiarizarea studenților cu principalele reguli de scriere academică. Prelegerile din prima parte a semestrului vizează teme introductive din teoria argumentării, iar întâlnirile ulterioare sunt centrate pe dezvoltarea competențelor necesare pentru a redacta lucrări academice evitând plagiatul și folosind reguli de citare adecvate. </w:t>
      </w:r>
    </w:p>
    <w:p w:rsidR="00000000" w:rsidDel="00000000" w:rsidP="00000000" w:rsidRDefault="00000000" w:rsidRPr="00000000" w14:paraId="00000030">
      <w:pP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rtl w:val="0"/>
        </w:rPr>
        <w:t xml:space="preserve">O1 </w:t>
      </w:r>
      <w:r w:rsidDel="00000000" w:rsidR="00000000" w:rsidRPr="00000000">
        <w:rPr>
          <w:rFonts w:ascii="Times New Roman" w:cs="Times New Roman" w:eastAsia="Times New Roman" w:hAnsi="Times New Roman"/>
          <w:rtl w:val="0"/>
        </w:rPr>
        <w:t xml:space="preserve">(C1.2 grila 1l RNCIS): Utilizarea unor abordări din teoria argumentării pentru a descrie justificarea pragmatică. </w:t>
      </w:r>
      <w:r w:rsidDel="00000000" w:rsidR="00000000" w:rsidRPr="00000000">
        <w:rPr>
          <w:rtl w:val="0"/>
        </w:rPr>
      </w:r>
    </w:p>
    <w:p w:rsidR="00000000" w:rsidDel="00000000" w:rsidP="00000000" w:rsidRDefault="00000000" w:rsidRPr="00000000" w14:paraId="00000031">
      <w:pP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rtl w:val="0"/>
        </w:rPr>
        <w:t xml:space="preserve">O2</w:t>
      </w:r>
      <w:r w:rsidDel="00000000" w:rsidR="00000000" w:rsidRPr="00000000">
        <w:rPr>
          <w:rFonts w:ascii="Times New Roman" w:cs="Times New Roman" w:eastAsia="Times New Roman" w:hAnsi="Times New Roman"/>
          <w:rtl w:val="0"/>
        </w:rPr>
        <w:t xml:space="preserve"> (C2.1 grila 1l RNCIS modificat): Elaborarea lucrărilor de cercetare folosind cadre teoretice specifice disciplinei;</w:t>
      </w:r>
      <w:r w:rsidDel="00000000" w:rsidR="00000000" w:rsidRPr="00000000">
        <w:rPr>
          <w:rtl w:val="0"/>
        </w:rPr>
      </w:r>
    </w:p>
    <w:p w:rsidR="00000000" w:rsidDel="00000000" w:rsidP="00000000" w:rsidRDefault="00000000" w:rsidRPr="00000000" w14:paraId="00000032">
      <w:pP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rtl w:val="0"/>
        </w:rPr>
        <w:t xml:space="preserve">O3</w:t>
      </w:r>
      <w:r w:rsidDel="00000000" w:rsidR="00000000" w:rsidRPr="00000000">
        <w:rPr>
          <w:rFonts w:ascii="Times New Roman" w:cs="Times New Roman" w:eastAsia="Times New Roman" w:hAnsi="Times New Roman"/>
          <w:rtl w:val="0"/>
        </w:rPr>
        <w:t xml:space="preserve"> (C2.2 grila 1l RNCIS): Utilizarea conceptelor fundamentale din teoria argumentării pentru înțelegerea și evaluarea unor lucrări de cercetare care folosesc cadre teoretice specifice disciplinei. </w:t>
      </w:r>
      <w:r w:rsidDel="00000000" w:rsidR="00000000" w:rsidRPr="00000000">
        <w:rPr>
          <w:rtl w:val="0"/>
        </w:rPr>
      </w:r>
    </w:p>
    <w:p w:rsidR="00000000" w:rsidDel="00000000" w:rsidP="00000000" w:rsidRDefault="00000000" w:rsidRPr="00000000" w14:paraId="00000033">
      <w:pP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rtl w:val="0"/>
        </w:rPr>
        <w:t xml:space="preserve">O4</w:t>
      </w:r>
      <w:r w:rsidDel="00000000" w:rsidR="00000000" w:rsidRPr="00000000">
        <w:rPr>
          <w:rFonts w:ascii="Times New Roman" w:cs="Times New Roman" w:eastAsia="Times New Roman" w:hAnsi="Times New Roman"/>
          <w:rtl w:val="0"/>
        </w:rPr>
        <w:t xml:space="preserve"> (C3.2 grila 1l RNCIS): Utilizarea paradigmelor teoretice ale teoriei argumentării şi retoricii pentru a înțelege mizele construirii argumentative ale unui discurs. </w:t>
      </w:r>
      <w:r w:rsidDel="00000000" w:rsidR="00000000" w:rsidRPr="00000000">
        <w:rPr>
          <w:rtl w:val="0"/>
        </w:rPr>
      </w:r>
    </w:p>
    <w:p w:rsidR="00000000" w:rsidDel="00000000" w:rsidP="00000000" w:rsidRDefault="00000000" w:rsidRPr="00000000" w14:paraId="00000034">
      <w:pP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rtl w:val="0"/>
        </w:rPr>
        <w:t xml:space="preserve">O5</w:t>
      </w:r>
      <w:r w:rsidDel="00000000" w:rsidR="00000000" w:rsidRPr="00000000">
        <w:rPr>
          <w:rFonts w:ascii="Times New Roman" w:cs="Times New Roman" w:eastAsia="Times New Roman" w:hAnsi="Times New Roman"/>
          <w:rtl w:val="0"/>
        </w:rPr>
        <w:t xml:space="preserve"> (C4.2 grila 1l RNCIS): Examinarea critică a diferitelor paradigme ale retoricii şi argumentării. </w:t>
      </w:r>
      <w:r w:rsidDel="00000000" w:rsidR="00000000" w:rsidRPr="00000000">
        <w:rPr>
          <w:rtl w:val="0"/>
        </w:rPr>
      </w:r>
    </w:p>
    <w:p w:rsidR="00000000" w:rsidDel="00000000" w:rsidP="00000000" w:rsidRDefault="00000000" w:rsidRPr="00000000" w14:paraId="00000035">
      <w:pP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rtl w:val="0"/>
        </w:rPr>
        <w:t xml:space="preserve">O6</w:t>
      </w:r>
      <w:r w:rsidDel="00000000" w:rsidR="00000000" w:rsidRPr="00000000">
        <w:rPr>
          <w:rFonts w:ascii="Times New Roman" w:cs="Times New Roman" w:eastAsia="Times New Roman" w:hAnsi="Times New Roman"/>
          <w:rtl w:val="0"/>
        </w:rPr>
        <w:t xml:space="preserve"> (C5.2 grila 1l RNCIS): Utilizarea conceptelor fundamentale specifice disciplinei în interpretarea şi analiza argumentelor narative și a argumentației folosite în dialogul și dezbaterea academică. </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B. PRECONDIŢII DE ACCESARE A DISCIPLINEI</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i w:val="1"/>
          <w:iCs w:val="1"/>
          <w:color w:val="000000"/>
          <w:rtl w:val="0"/>
        </w:rPr>
        <w:t xml:space="preserve">(Se menționează disciplinele care trebuie studiate anterior)</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tl w:val="0"/>
        </w:rPr>
      </w:r>
    </w:p>
    <w:tbl>
      <w:tblPr>
        <w:tblStyle w:val="Table2"/>
        <w:tblW w:w="9639.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93"/>
        <w:gridCol w:w="5346"/>
        <w:tblGridChange w:id="0">
          <w:tblGrid>
            <w:gridCol w:w="4293"/>
            <w:gridCol w:w="5346"/>
          </w:tblGrid>
        </w:tblGridChange>
      </w:tblGrid>
      <w:tr>
        <w:trPr>
          <w:cantSplit w:val="0"/>
          <w:tblHeader w:val="0"/>
        </w:trPr>
        <w:tc>
          <w:tcPr>
            <w:shd w:fill="auto" w:val="clea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Denumire disciplină</w:t>
            </w:r>
          </w:p>
        </w:tc>
        <w:tc>
          <w:tcPr>
            <w:shd w:fill="auto" w:val="clea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Necesară pentru:</w:t>
            </w:r>
          </w:p>
        </w:tc>
      </w:tr>
      <w:tr>
        <w:trPr>
          <w:cantSplit w:val="0"/>
          <w:tblHeader w:val="0"/>
        </w:trPr>
        <w:tc>
          <w:tcPr>
            <w:shd w:fill="auto" w:val="clea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Limba engleză</w:t>
            </w:r>
          </w:p>
        </w:tc>
        <w:tc>
          <w:tcPr>
            <w:shd w:fill="auto" w:val="clea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vizionarea unor segmente opționale din materialele audiovizuale prezentate pe parcursul cursului</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studierea unei părți din bibliografia minimală obligatorie</w:t>
            </w:r>
          </w:p>
        </w:tc>
      </w:tr>
    </w:tbl>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C. COMPETENŢE SPECIFICE</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i w:val="1"/>
          <w:iCs w:val="1"/>
          <w:color w:val="000000"/>
          <w:rtl w:val="0"/>
        </w:rPr>
        <w:t xml:space="preserve">Vizează competențele asigurate de programul de studiu din care face parte disciplina)</w:t>
      </w:r>
    </w:p>
    <w:p w:rsidR="00000000" w:rsidDel="00000000" w:rsidP="00000000" w:rsidRDefault="00000000" w:rsidRPr="00000000" w14:paraId="00000041">
      <w:pPr>
        <w:spacing w:after="0" w:line="240" w:lineRule="auto"/>
        <w:rPr>
          <w:rFonts w:ascii="Times New Roman" w:cs="Times New Roman" w:eastAsia="Times New Roman" w:hAnsi="Times New Roman"/>
          <w:i w:val="1"/>
          <w:iCs w:val="1"/>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Disciplina Gândire Critică şi Scriere Academică vizează următoarele competențe profesionale specifice programului de studiu (vezi grila 1l RNCIS):</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i w:val="1"/>
          <w:iCs w:val="1"/>
          <w:color w:val="000000"/>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(C1):</w:t>
      </w:r>
      <w:r w:rsidDel="00000000" w:rsidR="00000000" w:rsidRPr="00000000">
        <w:rPr>
          <w:rFonts w:ascii="Times New Roman" w:cs="Times New Roman" w:eastAsia="Times New Roman" w:hAnsi="Times New Roman"/>
          <w:color w:val="000000"/>
          <w:rtl w:val="0"/>
        </w:rPr>
        <w:t xml:space="preserve"> Aplicarea principalelor concepte ale teoriei argumentării și logicii informale în analiza discursului public și politic, precum și a retoricii vizuale și narative. </w:t>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(C2):</w:t>
      </w:r>
      <w:r w:rsidDel="00000000" w:rsidR="00000000" w:rsidRPr="00000000">
        <w:rPr>
          <w:rFonts w:ascii="Times New Roman" w:cs="Times New Roman" w:eastAsia="Times New Roman" w:hAnsi="Times New Roman"/>
          <w:color w:val="000000"/>
          <w:rtl w:val="0"/>
        </w:rPr>
        <w:t xml:space="preserve"> Elaborarea de proiecte de cercetare având teme specifice disciplinei.</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(C3):</w:t>
      </w:r>
      <w:r w:rsidDel="00000000" w:rsidR="00000000" w:rsidRPr="00000000">
        <w:rPr>
          <w:rFonts w:ascii="Times New Roman" w:cs="Times New Roman" w:eastAsia="Times New Roman" w:hAnsi="Times New Roman"/>
          <w:color w:val="000000"/>
          <w:rtl w:val="0"/>
        </w:rPr>
        <w:t xml:space="preserve"> Utilizarea metodologiilor specifice teoriei argumentării pentru a examina argumente vizuale.  </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(C4):</w:t>
      </w:r>
      <w:r w:rsidDel="00000000" w:rsidR="00000000" w:rsidRPr="00000000">
        <w:rPr>
          <w:rFonts w:ascii="Times New Roman" w:cs="Times New Roman" w:eastAsia="Times New Roman" w:hAnsi="Times New Roman"/>
          <w:color w:val="000000"/>
          <w:rtl w:val="0"/>
        </w:rPr>
        <w:t xml:space="preserve"> Utilizarea elementelor fundamentale specifice disciplinei în identificarea elementelor retorice </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specifice argumentației academice. </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(C5):</w:t>
      </w:r>
      <w:r w:rsidDel="00000000" w:rsidR="00000000" w:rsidRPr="00000000">
        <w:rPr>
          <w:rFonts w:ascii="Times New Roman" w:cs="Times New Roman" w:eastAsia="Times New Roman" w:hAnsi="Times New Roman"/>
          <w:color w:val="000000"/>
          <w:rtl w:val="0"/>
        </w:rPr>
        <w:t xml:space="preserve"> Susținerea și promovarea dialogului academic bazat pe argumente. </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Coroborarea conţinuturilor disciplinei cu aşteptările reprezentanţilor comunitaţii epistemice, asociaţiilor profesionale şi angajatori din domeniul aferent programului</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bCs w:val="1"/>
        </w:rPr>
      </w:pPr>
      <w:r w:rsidDel="00000000" w:rsidR="00000000" w:rsidRPr="00000000">
        <w:rPr>
          <w:rtl w:val="0"/>
        </w:rPr>
      </w:r>
    </w:p>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Gîndire critică şi scriere academică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4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În procesul de actualizare a conținuturilor s-a ținut cont în mod special de contextul actual de securitate și comunicare globală, subliniindu-se necesitatea formării gândirii critice în condițiile presiunii iliberalismului și a impactului teoriilor conspirației asupra democrației. De asemenea, disciplina răspunde nevoii de a dezvolta mecanisme intelectuale apte să facă față dezinformării propagate pe rețelele sociale. Totodată, un accent major este pus pe cultivarea unor instrumente științifice de cercetare, aspect esențial pentru evitarea bias-ului și asigurarea obiectivității în scrierea academică în domeniului Relațiilor Internaționale.</w:t>
            </w:r>
            <w:r w:rsidDel="00000000" w:rsidR="00000000" w:rsidRPr="00000000">
              <w:rPr>
                <w:rtl w:val="0"/>
              </w:rPr>
            </w:r>
          </w:p>
        </w:tc>
      </w:tr>
    </w:tbl>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rPr>
      </w:pPr>
      <w:r w:rsidDel="00000000" w:rsidR="00000000" w:rsidRPr="00000000">
        <w:rPr>
          <w:rtl w:val="0"/>
        </w:rPr>
      </w:r>
    </w:p>
    <w:tbl>
      <w:tblPr>
        <w:tblStyle w:val="Table4"/>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0">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51">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5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Studentul/Absolventul are capacitatea de a aplica rigoarea logică în construcția demersului științific specific domeniului Relații Internaționale și Studii Europene și stăpânește normele de redactare academică necesare pentru formularea și testarea ipotezelor de cercetare privind fenomenele politice internaționale. Acesta utilizează raționamente deductive și inductive corecte pentru a structura lucrări de specialitate, asigurând coerența dintre premisele teoretice și concluziile formulate și evitând erorile de logică în argumentare.</w:t>
            </w:r>
          </w:p>
          <w:p w:rsidR="00000000" w:rsidDel="00000000" w:rsidP="00000000" w:rsidRDefault="00000000" w:rsidRPr="00000000" w14:paraId="0000005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 Studentul/Absolventul recunoaște, alege și utilizează metode și tehnici de cercetare pentru realizarea unui studiu.</w:t>
            </w:r>
          </w:p>
          <w:p w:rsidR="00000000" w:rsidDel="00000000" w:rsidP="00000000" w:rsidRDefault="00000000" w:rsidRPr="00000000" w14:paraId="000000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Studentul/Absolventul demonstrează abilitatea de a selecta și utiliza instrumentarul specific analizei critice și retorice pentru investigarea fenomenelor politice complexe din sfera Relațiilor Internaționale și a Studiilor Europene. Acesta aplică grile de analiză asupra argumentelor vizuale și narative, transformând simpla receptare a informației într-o analiză structurată a mesajelor din spațiul național și internațional.</w:t>
            </w:r>
          </w:p>
          <w:p w:rsidR="00000000" w:rsidDel="00000000" w:rsidP="00000000" w:rsidRDefault="00000000" w:rsidRPr="00000000" w14:paraId="0000005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 Studentul/Absolventul recunoaște, analizează și explică metoda, procesul și studiul de influențare a oamenilor, de dobândire a controlului asupra unei comunități sau a unei societăți, precum și repartizarea puterilor în cadrul unei comunități și între societăți.</w:t>
            </w:r>
          </w:p>
          <w:p w:rsidR="00000000" w:rsidDel="00000000" w:rsidP="00000000" w:rsidRDefault="00000000" w:rsidRPr="00000000" w14:paraId="0000005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Studentul/Absolventul analizează și explică mecanismele prin care se exercită puterea simbolică și persuasiunea la nivel național și în sistemul internațional, identificând tehnicile de manipulare, propagandă și erorile logice (precum ad hominem sau omul de paie) utilizate în discursuri politice, diplomatice și în campaniile de comunicare strategică. Acesta evaluează capacitatea actorilor politici de a construi narațiuni strategice și de a folosi retorica pentru a domina agenda publică sau pentru a legitima autoritatea în fața unei comunități sau în relațiile dintre state.</w:t>
            </w:r>
          </w:p>
          <w:p w:rsidR="00000000" w:rsidDel="00000000" w:rsidP="00000000" w:rsidRDefault="00000000" w:rsidRPr="00000000" w14:paraId="0000005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C9: Studentul/Absolventul descrie și analizează concepte, teorii și paradigme utilizate în domeniul relațiilor internaționale (aplicate în analiza retorică și argumentativă).</w:t>
            </w:r>
          </w:p>
          <w:p w:rsidR="00000000" w:rsidDel="00000000" w:rsidP="00000000" w:rsidRDefault="00000000" w:rsidRPr="00000000" w14:paraId="000000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Studentul/Absolventul utilizează grilele de lectură specifice teoriei argumentării pentru a interpreta teme și concepte din domeniul Relațiilor Internaționale. Acesta integrează concepte fundamentale (precum ethos, pathos, logos) în evaluarea critică a discursurilor de politică externă</w:t>
            </w:r>
          </w:p>
          <w:p w:rsidR="00000000" w:rsidDel="00000000" w:rsidP="00000000" w:rsidRDefault="00000000" w:rsidRPr="00000000" w14:paraId="0000005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5B">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5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Studentul/Absolventul se angajează în conceperea de noi cunoștințe prin formularea de întrebări de cercetare relevante pentru cercetarea relațiilor internaționale. </w:t>
            </w:r>
          </w:p>
          <w:p w:rsidR="00000000" w:rsidDel="00000000" w:rsidP="00000000" w:rsidRDefault="00000000" w:rsidRPr="00000000" w14:paraId="0000005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A3: Studentul/Absolventul aplică principiile etice fundamentale și legislația în domeniul cercetării științifice, inclusiv în ceea ce privește aspectele legate de integritatea cercetării. Efectuează, revizuiește sau raportează cercetări, evitând comportamentele greșite, cum ar fi fabricarea, falsificarea și plagiatul.</w:t>
            </w:r>
          </w:p>
          <w:p w:rsidR="00000000" w:rsidDel="00000000" w:rsidP="00000000" w:rsidRDefault="00000000" w:rsidRPr="00000000" w14:paraId="0000005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Studentul/Absolventul aplică principiile etice fundamentale și legislația în domeniul cercetării științifice, demonstrând integritate în elaborarea lucrărilor de seminar. Acesta efectuează, revizuiește și raportează rezultatele cercetării evitând cu strictețe comportamentele incorecte precum fabricarea datelor, falsificarea surselor și plagiatul, prin utilizarea corectă a sistemelor de citare consacrate în științele politice.</w:t>
            </w:r>
          </w:p>
          <w:p w:rsidR="00000000" w:rsidDel="00000000" w:rsidP="00000000" w:rsidRDefault="00000000" w:rsidRPr="00000000" w14:paraId="0000006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p>
          <w:p w:rsidR="00000000" w:rsidDel="00000000" w:rsidP="00000000" w:rsidRDefault="00000000" w:rsidRPr="00000000" w14:paraId="0000006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Studentul/Absolventul dezvoltă și demonstrează cunoașterea aprofundată a normelor de cercetare în domeniul Științelor Politice și Relațiilor Internaționale și Studiilor Europene. </w:t>
            </w:r>
          </w:p>
          <w:p w:rsidR="00000000" w:rsidDel="00000000" w:rsidP="00000000" w:rsidRDefault="00000000" w:rsidRPr="00000000" w14:paraId="00000062">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6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R3: Studentul/Absolventul identifică, prin apel la gândirea critică, punctele tari și punctele slabe ale soluțiilor alternative, concluziilor sau abordărilor problemelor.</w:t>
            </w:r>
          </w:p>
          <w:p w:rsidR="00000000" w:rsidDel="00000000" w:rsidP="00000000" w:rsidRDefault="00000000" w:rsidRPr="00000000" w14:paraId="0000006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Studentul/Absolventul identifică, prin apel la instrumentele gândirii critice, punctele tari și punctele slabe ale diverselor documente specifice domeniului relațiilor internaționale și studiilor europene Acesta analizează structura logică a argumentelor din literatura de specialitate pentru a evalua validitatea concluziilor propuse în dezbaterile academice și profesionale din domeniul Relațiilor Internaționale și Studiilor Europene.</w:t>
            </w:r>
          </w:p>
          <w:p w:rsidR="00000000" w:rsidDel="00000000" w:rsidP="00000000" w:rsidRDefault="00000000" w:rsidRPr="00000000" w14:paraId="0000006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6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Times New Roman" w:cs="Times New Roman" w:eastAsia="Times New Roman" w:hAnsi="Times New Roman"/>
                <w:i w:val="1"/>
                <w:iCs w:val="1"/>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Studentul/Absolventul pronunță și apără hotărâri pe baza dovezilor interne ale textelor analizate și a criteriilor de validitate științifică. Evaluează critic credibilitatea și fiabilitatea informațiilor (competență esențială în contextul analizei conflictelor și a riscurilor de securitate) înainte de a le utiliza sau de a le transmite altora, dezvoltând astfel o gândire independentă și capacitatea de a formula judecăți autonome în sfera relațiilor internaționale și studiilor europene. </w:t>
            </w:r>
            <w:r w:rsidDel="00000000" w:rsidR="00000000" w:rsidRPr="00000000">
              <w:rPr>
                <w:rtl w:val="0"/>
              </w:rPr>
            </w:r>
          </w:p>
          <w:p w:rsidR="00000000" w:rsidDel="00000000" w:rsidP="00000000" w:rsidRDefault="00000000" w:rsidRPr="00000000" w14:paraId="0000006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R7: Studentul/Absolventul este în măsură să evalueze și să analizeze informațiile și sursele acestora. Studentul/Absolventul demonstrează capacitate de a accesa și de a avea o înțelegere critică atât a formelor tradiționale, cât și a celor noi de mass-media, precum și a rolului și funcției acestora în societățile democratice</w:t>
            </w:r>
          </w:p>
          <w:p w:rsidR="00000000" w:rsidDel="00000000" w:rsidP="00000000" w:rsidRDefault="00000000" w:rsidRPr="00000000" w14:paraId="0000006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Times New Roman" w:cs="Times New Roman" w:eastAsia="Times New Roman" w:hAnsi="Times New Roman"/>
                <w:i w:val="0"/>
                <w:iCs w:val="0"/>
                <w:smallCaps w:val="0"/>
                <w:strike w:val="0"/>
                <w:color w:val="000000"/>
                <w:shd w:fill="auto" w:val="clear"/>
                <w:vertAlign w:val="baseline"/>
              </w:rPr>
            </w:pPr>
            <w:bookmarkStart w:colFirst="0" w:colLast="0" w:name="_heading=h.cznidhn4w5jf" w:id="0"/>
            <w:bookmarkEnd w:id="0"/>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Studentul/Absolventul este în măsură să evalueze și să analizeze critic informațiile și sursele acestora, distingând între fapte verificabile și opinii în fluxul de știri naționale și internaționale. Acesta demonstrează capacitatea de a accesa și de a avea o înțelegere critică atât a formelor tradiționale, cât și a celor noi de mass-media, precum și a rolului acestora în influențarea proceselor democratice și a deciziilor geopolitice.</w:t>
            </w:r>
            <w:r w:rsidDel="00000000" w:rsidR="00000000" w:rsidRPr="00000000">
              <w:rPr>
                <w:rtl w:val="0"/>
              </w:rPr>
            </w:r>
          </w:p>
        </w:tc>
      </w:tr>
    </w:tbl>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 CONŢINUTUL DISCIPLINEI </w:t>
      </w:r>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tbl>
      <w:tblPr>
        <w:tblStyle w:val="Table5"/>
        <w:tblW w:w="974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9"/>
        <w:gridCol w:w="4820"/>
        <w:gridCol w:w="1843"/>
        <w:gridCol w:w="1275"/>
        <w:tblGridChange w:id="0">
          <w:tblGrid>
            <w:gridCol w:w="1809"/>
            <w:gridCol w:w="4820"/>
            <w:gridCol w:w="1843"/>
            <w:gridCol w:w="1275"/>
          </w:tblGrid>
        </w:tblGridChange>
      </w:tblGrid>
      <w:tr>
        <w:trPr>
          <w:cantSplit w:val="0"/>
          <w:tblHeader w:val="0"/>
        </w:trPr>
        <w:tc>
          <w:tcPr>
            <w:shd w:fill="auto" w:val="clear"/>
          </w:tcPr>
          <w:p w:rsidR="00000000" w:rsidDel="00000000" w:rsidP="00000000" w:rsidRDefault="00000000" w:rsidRPr="00000000" w14:paraId="0000006E">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Tipul de aplicație</w:t>
            </w:r>
            <w:r w:rsidDel="00000000" w:rsidR="00000000" w:rsidRPr="00000000">
              <w:rPr>
                <w:rFonts w:ascii="Times New Roman" w:cs="Times New Roman" w:eastAsia="Times New Roman" w:hAnsi="Times New Roman"/>
                <w:b w:val="1"/>
                <w:bCs w:val="1"/>
                <w:vertAlign w:val="superscript"/>
              </w:rPr>
              <w:footnoteReference w:customMarkFollows="0" w:id="0"/>
            </w:r>
            <w:r w:rsidDel="00000000" w:rsidR="00000000" w:rsidRPr="00000000">
              <w:rPr>
                <w:rFonts w:ascii="Times New Roman" w:cs="Times New Roman" w:eastAsia="Times New Roman" w:hAnsi="Times New Roman"/>
                <w:b w:val="1"/>
                <w:bCs w:val="1"/>
                <w:vertAlign w:val="superscript"/>
                <w:rtl w:val="0"/>
              </w:rPr>
              <w:t xml:space="preserve">*</w:t>
            </w:r>
            <w:r w:rsidDel="00000000" w:rsidR="00000000" w:rsidRPr="00000000">
              <w:rPr>
                <w:rtl w:val="0"/>
              </w:rPr>
            </w:r>
          </w:p>
        </w:tc>
        <w:tc>
          <w:tcPr>
            <w:shd w:fill="auto" w:val="clear"/>
          </w:tcPr>
          <w:p w:rsidR="00000000" w:rsidDel="00000000" w:rsidP="00000000" w:rsidRDefault="00000000" w:rsidRPr="00000000" w14:paraId="0000006F">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p w:rsidR="00000000" w:rsidDel="00000000" w:rsidP="00000000" w:rsidRDefault="00000000" w:rsidRPr="00000000" w14:paraId="00000070">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Tipul activității</w:t>
            </w:r>
          </w:p>
        </w:tc>
        <w:tc>
          <w:tcPr>
            <w:shd w:fill="auto" w:val="clear"/>
          </w:tcPr>
          <w:p w:rsidR="00000000" w:rsidDel="00000000" w:rsidP="00000000" w:rsidRDefault="00000000" w:rsidRPr="00000000" w14:paraId="00000071">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blHeader w:val="0"/>
        </w:trPr>
        <w:tc>
          <w:tcPr>
            <w:shd w:fill="auto" w:val="clear"/>
          </w:tcPr>
          <w:p w:rsidR="00000000" w:rsidDel="00000000" w:rsidP="00000000" w:rsidRDefault="00000000" w:rsidRPr="00000000" w14:paraId="0000007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(seminar) Introducere</w:t>
            </w:r>
          </w:p>
        </w:tc>
        <w:tc>
          <w:tcPr>
            <w:shd w:fill="auto" w:val="clear"/>
          </w:tcPr>
          <w:p w:rsidR="00000000" w:rsidDel="00000000" w:rsidP="00000000" w:rsidRDefault="00000000" w:rsidRPr="00000000" w14:paraId="00000073">
            <w:pPr>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1: Prezentare studenți;</w:t>
            </w:r>
          </w:p>
          <w:p w:rsidR="00000000" w:rsidDel="00000000" w:rsidP="00000000" w:rsidRDefault="00000000" w:rsidRPr="00000000" w14:paraId="00000074">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2: Prezentarea syllabusului, </w:t>
            </w:r>
          </w:p>
          <w:p w:rsidR="00000000" w:rsidDel="00000000" w:rsidP="00000000" w:rsidRDefault="00000000" w:rsidRPr="00000000" w14:paraId="00000075">
            <w:pPr>
              <w:tabs>
                <w:tab w:val="left" w:leader="none" w:pos="975"/>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3:Prezentarea sistemului de evaluare a studenţilor </w:t>
            </w:r>
          </w:p>
          <w:p w:rsidR="00000000" w:rsidDel="00000000" w:rsidP="00000000" w:rsidRDefault="00000000" w:rsidRPr="00000000" w14:paraId="00000076">
            <w:pPr>
              <w:tabs>
                <w:tab w:val="left" w:leader="none" w:pos="975"/>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4: Discuție introductivă despre diferența dinte observații și inferențe</w:t>
            </w:r>
          </w:p>
        </w:tc>
        <w:tc>
          <w:tcPr/>
          <w:p w:rsidR="00000000" w:rsidDel="00000000" w:rsidP="00000000" w:rsidRDefault="00000000" w:rsidRPr="00000000" w14:paraId="00000077">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78">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tc>
        <w:tc>
          <w:tcPr>
            <w:shd w:fill="auto" w:val="clear"/>
          </w:tcPr>
          <w:p w:rsidR="00000000" w:rsidDel="00000000" w:rsidP="00000000" w:rsidRDefault="00000000" w:rsidRPr="00000000" w14:paraId="0000007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7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SI=5h</w:t>
            </w:r>
          </w:p>
          <w:p w:rsidR="00000000" w:rsidDel="00000000" w:rsidP="00000000" w:rsidRDefault="00000000" w:rsidRPr="00000000" w14:paraId="0000007B">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C">
            <w:pPr>
              <w:spacing w:after="0" w:lineRule="auto"/>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(seminar) Principiile justificării pragmatice</w:t>
            </w:r>
          </w:p>
        </w:tc>
        <w:tc>
          <w:tcPr>
            <w:shd w:fill="auto" w:val="clear"/>
          </w:tcPr>
          <w:p w:rsidR="00000000" w:rsidDel="00000000" w:rsidP="00000000" w:rsidRDefault="00000000" w:rsidRPr="00000000" w14:paraId="0000007E">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1: Ce este un raționament deductiv? Dar unul inductiv? Exemple. </w:t>
            </w:r>
          </w:p>
          <w:p w:rsidR="00000000" w:rsidDel="00000000" w:rsidP="00000000" w:rsidRDefault="00000000" w:rsidRPr="00000000" w14:paraId="0000007F">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2: Care sunt principalele erori de logica informală folosite în dezbaterea politică? (ad hominem, red herring, straw man, slippery slope, apelul la autoritate etc.) Exemple. </w:t>
            </w:r>
          </w:p>
          <w:p w:rsidR="00000000" w:rsidDel="00000000" w:rsidP="00000000" w:rsidRDefault="00000000" w:rsidRPr="00000000" w14:paraId="00000080">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3: Cum se folosesc aceste erori logice ca ”perdele de fum” și tehnici de manipulare și propagandă în campanii electorale sau publicitare?</w:t>
            </w:r>
          </w:p>
        </w:tc>
        <w:tc>
          <w:tcPr/>
          <w:p w:rsidR="00000000" w:rsidDel="00000000" w:rsidP="00000000" w:rsidRDefault="00000000" w:rsidRPr="00000000" w14:paraId="00000081">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82">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083">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Exemple </w:t>
            </w:r>
          </w:p>
          <w:p w:rsidR="00000000" w:rsidDel="00000000" w:rsidP="00000000" w:rsidRDefault="00000000" w:rsidRPr="00000000" w14:paraId="00000084">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5">
            <w:pPr>
              <w:spacing w:after="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8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8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SI=5h</w:t>
            </w:r>
          </w:p>
        </w:tc>
      </w:tr>
      <w:tr>
        <w:trPr>
          <w:cantSplit w:val="0"/>
          <w:tblHeader w:val="0"/>
        </w:trPr>
        <w:tc>
          <w:tcPr>
            <w:shd w:fill="auto" w:val="clear"/>
          </w:tcPr>
          <w:p w:rsidR="00000000" w:rsidDel="00000000" w:rsidP="00000000" w:rsidRDefault="00000000" w:rsidRPr="00000000" w14:paraId="0000008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(seminar) Alternative macro-teoretice  în teoria argumentării</w:t>
            </w:r>
          </w:p>
        </w:tc>
        <w:tc>
          <w:tcPr>
            <w:shd w:fill="auto" w:val="clear"/>
          </w:tcPr>
          <w:p w:rsidR="00000000" w:rsidDel="00000000" w:rsidP="00000000" w:rsidRDefault="00000000" w:rsidRPr="00000000" w14:paraId="00000089">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1: Elemente de retorică vizuală. </w:t>
            </w:r>
          </w:p>
          <w:p w:rsidR="00000000" w:rsidDel="00000000" w:rsidP="00000000" w:rsidRDefault="00000000" w:rsidRPr="00000000" w14:paraId="0000008A">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2: Ce este un argument vizual și cum se construiește (teleologic)? Exemple de argumente vizuale.</w:t>
            </w:r>
          </w:p>
          <w:p w:rsidR="00000000" w:rsidDel="00000000" w:rsidP="00000000" w:rsidRDefault="00000000" w:rsidRPr="00000000" w14:paraId="0000008B">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3: Folosirea argumentelor vizuale în scop propagandistic.</w:t>
            </w:r>
          </w:p>
        </w:tc>
        <w:tc>
          <w:tcPr/>
          <w:p w:rsidR="00000000" w:rsidDel="00000000" w:rsidP="00000000" w:rsidRDefault="00000000" w:rsidRPr="00000000" w14:paraId="0000008C">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8D">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08E">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Vizionare de videoclipuri</w:t>
            </w:r>
          </w:p>
          <w:p w:rsidR="00000000" w:rsidDel="00000000" w:rsidP="00000000" w:rsidRDefault="00000000" w:rsidRPr="00000000" w14:paraId="0000008F">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Analiză</w:t>
            </w:r>
          </w:p>
          <w:p w:rsidR="00000000" w:rsidDel="00000000" w:rsidP="00000000" w:rsidRDefault="00000000" w:rsidRPr="00000000" w14:paraId="00000090">
            <w:pPr>
              <w:spacing w:after="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9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9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SI=5h</w:t>
            </w:r>
          </w:p>
        </w:tc>
      </w:tr>
      <w:tr>
        <w:trPr>
          <w:cantSplit w:val="0"/>
          <w:tblHeader w:val="0"/>
        </w:trPr>
        <w:tc>
          <w:tcPr>
            <w:shd w:fill="auto" w:val="clear"/>
          </w:tcPr>
          <w:p w:rsidR="00000000" w:rsidDel="00000000" w:rsidP="00000000" w:rsidRDefault="00000000" w:rsidRPr="00000000" w14:paraId="00000093">
            <w:pPr>
              <w:spacing w:after="8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(seminar) Argumentul narativ</w:t>
            </w:r>
          </w:p>
        </w:tc>
        <w:tc>
          <w:tcPr>
            <w:shd w:fill="auto" w:val="clear"/>
          </w:tcPr>
          <w:p w:rsidR="00000000" w:rsidDel="00000000" w:rsidP="00000000" w:rsidRDefault="00000000" w:rsidRPr="00000000" w14:paraId="00000094">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1: Ce este un argument narativ? </w:t>
            </w:r>
          </w:p>
          <w:p w:rsidR="00000000" w:rsidDel="00000000" w:rsidP="00000000" w:rsidRDefault="00000000" w:rsidRPr="00000000" w14:paraId="00000095">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2: Modele de argumente narative.</w:t>
            </w:r>
          </w:p>
          <w:p w:rsidR="00000000" w:rsidDel="00000000" w:rsidP="00000000" w:rsidRDefault="00000000" w:rsidRPr="00000000" w14:paraId="00000096">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3: Exemple. </w:t>
            </w:r>
          </w:p>
          <w:p w:rsidR="00000000" w:rsidDel="00000000" w:rsidP="00000000" w:rsidRDefault="00000000" w:rsidRPr="00000000" w14:paraId="00000097">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4: Fake news și limita dintre realitate și ficțiune</w:t>
            </w:r>
          </w:p>
        </w:tc>
        <w:tc>
          <w:tcPr/>
          <w:p w:rsidR="00000000" w:rsidDel="00000000" w:rsidP="00000000" w:rsidRDefault="00000000" w:rsidRPr="00000000" w14:paraId="00000098">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99">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09A">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Analiză text</w:t>
            </w:r>
          </w:p>
          <w:p w:rsidR="00000000" w:rsidDel="00000000" w:rsidP="00000000" w:rsidRDefault="00000000" w:rsidRPr="00000000" w14:paraId="0000009B">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Exerciții la tablă</w:t>
            </w:r>
          </w:p>
          <w:p w:rsidR="00000000" w:rsidDel="00000000" w:rsidP="00000000" w:rsidRDefault="00000000" w:rsidRPr="00000000" w14:paraId="0000009C">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tc>
        <w:tc>
          <w:tcPr>
            <w:shd w:fill="auto" w:val="clear"/>
          </w:tcPr>
          <w:p w:rsidR="00000000" w:rsidDel="00000000" w:rsidP="00000000" w:rsidRDefault="00000000" w:rsidRPr="00000000" w14:paraId="0000009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9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SI=5h</w:t>
            </w:r>
          </w:p>
        </w:tc>
      </w:tr>
      <w:tr>
        <w:trPr>
          <w:cantSplit w:val="0"/>
          <w:tblHeader w:val="0"/>
        </w:trPr>
        <w:tc>
          <w:tcPr>
            <w:shd w:fill="auto" w:val="clear"/>
          </w:tcPr>
          <w:p w:rsidR="00000000" w:rsidDel="00000000" w:rsidP="00000000" w:rsidRDefault="00000000" w:rsidRPr="00000000" w14:paraId="0000009F">
            <w:pPr>
              <w:spacing w:after="8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(seminar) </w:t>
            </w:r>
          </w:p>
          <w:p w:rsidR="00000000" w:rsidDel="00000000" w:rsidP="00000000" w:rsidRDefault="00000000" w:rsidRPr="00000000" w14:paraId="000000A0">
            <w:pPr>
              <w:spacing w:after="8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Norme de scriere academică (I)   </w:t>
            </w:r>
          </w:p>
        </w:tc>
        <w:tc>
          <w:tcPr>
            <w:shd w:fill="auto" w:val="clear"/>
          </w:tcPr>
          <w:p w:rsidR="00000000" w:rsidDel="00000000" w:rsidP="00000000" w:rsidRDefault="00000000" w:rsidRPr="00000000" w14:paraId="000000A1">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1: Prezentarea sistemelor de scriere academică cu referinţe Chicago şi APA </w:t>
            </w:r>
          </w:p>
          <w:p w:rsidR="00000000" w:rsidDel="00000000" w:rsidP="00000000" w:rsidRDefault="00000000" w:rsidRPr="00000000" w14:paraId="000000A2">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2: Care este diferenţa dintre citat şi parafrază?</w:t>
            </w:r>
          </w:p>
        </w:tc>
        <w:tc>
          <w:tcPr/>
          <w:p w:rsidR="00000000" w:rsidDel="00000000" w:rsidP="00000000" w:rsidRDefault="00000000" w:rsidRPr="00000000" w14:paraId="000000A3">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A4">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0A5">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Exerciții la tablă</w:t>
            </w:r>
          </w:p>
        </w:tc>
        <w:tc>
          <w:tcPr>
            <w:shd w:fill="auto" w:val="clear"/>
          </w:tcPr>
          <w:p w:rsidR="00000000" w:rsidDel="00000000" w:rsidP="00000000" w:rsidRDefault="00000000" w:rsidRPr="00000000" w14:paraId="000000A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A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SI=5h</w:t>
            </w:r>
          </w:p>
        </w:tc>
      </w:tr>
      <w:tr>
        <w:trPr>
          <w:cantSplit w:val="0"/>
          <w:tblHeader w:val="0"/>
        </w:trPr>
        <w:tc>
          <w:tcPr>
            <w:shd w:fill="auto" w:val="clear"/>
          </w:tcPr>
          <w:p w:rsidR="00000000" w:rsidDel="00000000" w:rsidP="00000000" w:rsidRDefault="00000000" w:rsidRPr="00000000" w14:paraId="000000A8">
            <w:pPr>
              <w:spacing w:after="8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(seminar) Norme de scriere academică (II) </w:t>
            </w:r>
          </w:p>
        </w:tc>
        <w:tc>
          <w:tcPr>
            <w:shd w:fill="auto" w:val="clear"/>
          </w:tcPr>
          <w:p w:rsidR="00000000" w:rsidDel="00000000" w:rsidP="00000000" w:rsidRDefault="00000000" w:rsidRPr="00000000" w14:paraId="000000A9">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1: Ce este o parafrază? Exemple de parafraze.</w:t>
            </w:r>
          </w:p>
          <w:p w:rsidR="00000000" w:rsidDel="00000000" w:rsidP="00000000" w:rsidRDefault="00000000" w:rsidRPr="00000000" w14:paraId="000000AA">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2: Evitarea plagiatului prin parafrazare şi indicarea sursei/referinţei. </w:t>
            </w:r>
          </w:p>
        </w:tc>
        <w:tc>
          <w:tcPr/>
          <w:p w:rsidR="00000000" w:rsidDel="00000000" w:rsidP="00000000" w:rsidRDefault="00000000" w:rsidRPr="00000000" w14:paraId="000000AB">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AC">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0AD">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Analiză text</w:t>
            </w:r>
          </w:p>
          <w:p w:rsidR="00000000" w:rsidDel="00000000" w:rsidP="00000000" w:rsidRDefault="00000000" w:rsidRPr="00000000" w14:paraId="000000AE">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p w:rsidR="00000000" w:rsidDel="00000000" w:rsidP="00000000" w:rsidRDefault="00000000" w:rsidRPr="00000000" w14:paraId="000000A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Lucru în echipă</w:t>
            </w:r>
          </w:p>
        </w:tc>
        <w:tc>
          <w:tcPr>
            <w:shd w:fill="auto" w:val="clear"/>
          </w:tcPr>
          <w:p w:rsidR="00000000" w:rsidDel="00000000" w:rsidP="00000000" w:rsidRDefault="00000000" w:rsidRPr="00000000" w14:paraId="000000B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B1">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SI=6h</w:t>
            </w:r>
          </w:p>
        </w:tc>
      </w:tr>
      <w:tr>
        <w:trPr>
          <w:cantSplit w:val="0"/>
          <w:tblHeader w:val="0"/>
        </w:trPr>
        <w:tc>
          <w:tcPr>
            <w:shd w:fill="auto" w:val="clear"/>
          </w:tcPr>
          <w:p w:rsidR="00000000" w:rsidDel="00000000" w:rsidP="00000000" w:rsidRDefault="00000000" w:rsidRPr="00000000" w14:paraId="000000B3">
            <w:pPr>
              <w:spacing w:after="8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(seminar) Norme de redactare a unei lucrări academice  </w:t>
            </w:r>
          </w:p>
        </w:tc>
        <w:tc>
          <w:tcPr>
            <w:shd w:fill="auto" w:val="clear"/>
          </w:tcPr>
          <w:p w:rsidR="00000000" w:rsidDel="00000000" w:rsidP="00000000" w:rsidRDefault="00000000" w:rsidRPr="00000000" w14:paraId="000000B4">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1: Formularea ipotezei sau a întrebării de cercetare</w:t>
            </w:r>
          </w:p>
          <w:p w:rsidR="00000000" w:rsidDel="00000000" w:rsidP="00000000" w:rsidRDefault="00000000" w:rsidRPr="00000000" w14:paraId="000000B5">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2:  Prezentarea datelor sau a argumentelor</w:t>
            </w:r>
          </w:p>
          <w:p w:rsidR="00000000" w:rsidDel="00000000" w:rsidP="00000000" w:rsidRDefault="00000000" w:rsidRPr="00000000" w14:paraId="000000B6">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3:Testarea ipotezei sau evaluarea argumentelor</w:t>
            </w:r>
          </w:p>
          <w:p w:rsidR="00000000" w:rsidDel="00000000" w:rsidP="00000000" w:rsidRDefault="00000000" w:rsidRPr="00000000" w14:paraId="000000B7">
            <w:pPr>
              <w:spacing w:after="8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4:  Concluzii</w:t>
            </w:r>
          </w:p>
        </w:tc>
        <w:tc>
          <w:tcPr/>
          <w:p w:rsidR="00000000" w:rsidDel="00000000" w:rsidP="00000000" w:rsidRDefault="00000000" w:rsidRPr="00000000" w14:paraId="000000B8">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Discuții</w:t>
            </w:r>
          </w:p>
          <w:p w:rsidR="00000000" w:rsidDel="00000000" w:rsidP="00000000" w:rsidRDefault="00000000" w:rsidRPr="00000000" w14:paraId="000000B9">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Prezentare</w:t>
            </w:r>
          </w:p>
          <w:p w:rsidR="00000000" w:rsidDel="00000000" w:rsidP="00000000" w:rsidRDefault="00000000" w:rsidRPr="00000000" w14:paraId="000000BA">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Exerciţii la tablă</w:t>
            </w:r>
          </w:p>
          <w:p w:rsidR="00000000" w:rsidDel="00000000" w:rsidP="00000000" w:rsidRDefault="00000000" w:rsidRPr="00000000" w14:paraId="000000BB">
            <w:pPr>
              <w:numPr>
                <w:ilvl w:val="0"/>
                <w:numId w:val="1"/>
              </w:numPr>
              <w:spacing w:after="0" w:lineRule="auto"/>
              <w:ind w:left="175" w:hanging="175"/>
              <w:rPr/>
            </w:pPr>
            <w:r w:rsidDel="00000000" w:rsidR="00000000" w:rsidRPr="00000000">
              <w:rPr>
                <w:rFonts w:ascii="Times New Roman" w:cs="Times New Roman" w:eastAsia="Times New Roman" w:hAnsi="Times New Roman"/>
                <w:rtl w:val="0"/>
              </w:rPr>
              <w:t xml:space="preserve">Lucru individual</w:t>
            </w:r>
          </w:p>
          <w:p w:rsidR="00000000" w:rsidDel="00000000" w:rsidP="00000000" w:rsidRDefault="00000000" w:rsidRPr="00000000" w14:paraId="000000BC">
            <w:pPr>
              <w:spacing w:after="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B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BE">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SI=5h</w:t>
            </w:r>
          </w:p>
        </w:tc>
      </w:tr>
      <w:tr>
        <w:trPr>
          <w:cantSplit w:val="0"/>
          <w:trHeight w:val="254" w:hRule="atLeast"/>
          <w:tblHeader w:val="0"/>
        </w:trPr>
        <w:tc>
          <w:tcPr/>
          <w:p w:rsidR="00000000" w:rsidDel="00000000" w:rsidP="00000000" w:rsidRDefault="00000000" w:rsidRPr="00000000" w14:paraId="000000C0">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C1">
            <w:pP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p w:rsidR="00000000" w:rsidDel="00000000" w:rsidP="00000000" w:rsidRDefault="00000000" w:rsidRPr="00000000" w14:paraId="000000C2">
            <w:pPr>
              <w:spacing w:after="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C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S=14h</w:t>
            </w:r>
          </w:p>
          <w:p w:rsidR="00000000" w:rsidDel="00000000" w:rsidP="00000000" w:rsidRDefault="00000000" w:rsidRPr="00000000" w14:paraId="000000C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SI=36</w:t>
            </w:r>
          </w:p>
        </w:tc>
      </w:tr>
    </w:tbl>
    <w:p w:rsidR="00000000" w:rsidDel="00000000" w:rsidP="00000000" w:rsidRDefault="00000000" w:rsidRPr="00000000" w14:paraId="000000C5">
      <w:pPr>
        <w:spacing w:after="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C6">
      <w:pPr>
        <w:spacing w:after="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iCs w:val="1"/>
          <w:rtl w:val="0"/>
        </w:rPr>
        <w:t xml:space="preserve">Se precizează metodele, formele de evaluare şi ponderea acestora în stabilirea notei finale. Se indică standardele minime de performanţă, raportate la competenţele definite la punctul </w:t>
      </w:r>
      <w:r w:rsidDel="00000000" w:rsidR="00000000" w:rsidRPr="00000000">
        <w:rPr>
          <w:rFonts w:ascii="Times New Roman" w:cs="Times New Roman" w:eastAsia="Times New Roman" w:hAnsi="Times New Roman"/>
          <w:b w:val="1"/>
          <w:bCs w:val="1"/>
          <w:rtl w:val="0"/>
        </w:rPr>
        <w:t xml:space="preserve">A. Obiectivele disciplinei</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C7">
      <w:pP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6"/>
        <w:tblW w:w="974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shd w:fill="auto" w:val="clear"/>
          </w:tcPr>
          <w:p w:rsidR="00000000" w:rsidDel="00000000" w:rsidP="00000000" w:rsidRDefault="00000000" w:rsidRPr="00000000" w14:paraId="000000C8">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shd w:fill="auto" w:val="clear"/>
          </w:tcPr>
          <w:p w:rsidR="00000000" w:rsidDel="00000000" w:rsidP="00000000" w:rsidRDefault="00000000" w:rsidRPr="00000000" w14:paraId="000000C9">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shd w:fill="auto" w:val="clear"/>
          </w:tcPr>
          <w:p w:rsidR="00000000" w:rsidDel="00000000" w:rsidP="00000000" w:rsidRDefault="00000000" w:rsidRPr="00000000" w14:paraId="000000CA">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shd w:fill="auto" w:val="clear"/>
          </w:tcPr>
          <w:p w:rsidR="00000000" w:rsidDel="00000000" w:rsidP="00000000" w:rsidRDefault="00000000" w:rsidRPr="00000000" w14:paraId="000000C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Examen (test scris) </w:t>
            </w:r>
          </w:p>
        </w:tc>
        <w:tc>
          <w:tcPr>
            <w:shd w:fill="auto" w:val="clear"/>
          </w:tcPr>
          <w:p w:rsidR="00000000" w:rsidDel="00000000" w:rsidP="00000000" w:rsidRDefault="00000000" w:rsidRPr="00000000" w14:paraId="000000C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Finală</w:t>
            </w:r>
          </w:p>
        </w:tc>
        <w:tc>
          <w:tcPr>
            <w:shd w:fill="auto" w:val="clear"/>
          </w:tcPr>
          <w:p w:rsidR="00000000" w:rsidDel="00000000" w:rsidP="00000000" w:rsidRDefault="00000000" w:rsidRPr="00000000" w14:paraId="000000C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80%</w:t>
            </w:r>
          </w:p>
        </w:tc>
      </w:tr>
      <w:tr>
        <w:trPr>
          <w:cantSplit w:val="0"/>
          <w:tblHeader w:val="0"/>
        </w:trPr>
        <w:tc>
          <w:tcPr>
            <w:shd w:fill="auto" w:val="clear"/>
          </w:tcPr>
          <w:p w:rsidR="00000000" w:rsidDel="00000000" w:rsidP="00000000" w:rsidRDefault="00000000" w:rsidRPr="00000000" w14:paraId="000000C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shd w:fill="auto" w:val="clear"/>
          </w:tcPr>
          <w:p w:rsidR="00000000" w:rsidDel="00000000" w:rsidP="00000000" w:rsidRDefault="00000000" w:rsidRPr="00000000" w14:paraId="000000C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Continuă</w:t>
            </w:r>
          </w:p>
        </w:tc>
        <w:tc>
          <w:tcPr>
            <w:shd w:fill="auto" w:val="clear"/>
          </w:tcPr>
          <w:p w:rsidR="00000000" w:rsidDel="00000000" w:rsidP="00000000" w:rsidRDefault="00000000" w:rsidRPr="00000000" w14:paraId="000000D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w:t>
            </w:r>
          </w:p>
        </w:tc>
      </w:tr>
    </w:tbl>
    <w:p w:rsidR="00000000" w:rsidDel="00000000" w:rsidP="00000000" w:rsidRDefault="00000000" w:rsidRPr="00000000" w14:paraId="000000D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2">
      <w:pPr>
        <w:ind w:right="-567"/>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Reguli evaluare</w:t>
      </w:r>
    </w:p>
    <w:p w:rsidR="00000000" w:rsidDel="00000000" w:rsidP="00000000" w:rsidRDefault="00000000" w:rsidRPr="00000000" w14:paraId="000000D3">
      <w:pPr>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Evaluarea continuă în cadrul seminarului se realizează prin cumularea participării active a studenților la activitățile de seminar. </w:t>
      </w:r>
    </w:p>
    <w:p w:rsidR="00000000" w:rsidDel="00000000" w:rsidP="00000000" w:rsidRDefault="00000000" w:rsidRPr="00000000" w14:paraId="000000D4">
      <w:pPr>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Examenul constă într-un test alcătuit din întrebări tip grilă (9 p). 1 p este acordat din oficiu. Durata examenului este de 40 min. </w:t>
      </w:r>
    </w:p>
    <w:p w:rsidR="00000000" w:rsidDel="00000000" w:rsidP="00000000" w:rsidRDefault="00000000" w:rsidRPr="00000000" w14:paraId="000000D5">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3. Standarde de performanță raportate la competențe:</w:t>
      </w:r>
    </w:p>
    <w:p w:rsidR="00000000" w:rsidDel="00000000" w:rsidP="00000000" w:rsidRDefault="00000000" w:rsidRPr="00000000" w14:paraId="000000D6">
      <w:pPr>
        <w:spacing w:after="0" w:lineRule="auto"/>
        <w:rPr>
          <w:rFonts w:ascii="Times New Roman" w:cs="Times New Roman" w:eastAsia="Times New Roman" w:hAnsi="Times New Roman"/>
          <w:b w:val="1"/>
          <w:bCs w:val="1"/>
        </w:rPr>
      </w:pPr>
      <w:r w:rsidDel="00000000" w:rsidR="00000000" w:rsidRPr="00000000">
        <w:rPr>
          <w:rtl w:val="0"/>
        </w:rPr>
      </w:r>
    </w:p>
    <w:tbl>
      <w:tblPr>
        <w:tblStyle w:val="Table7"/>
        <w:tblW w:w="9639.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7"/>
        <w:gridCol w:w="8112"/>
        <w:tblGridChange w:id="0">
          <w:tblGrid>
            <w:gridCol w:w="1527"/>
            <w:gridCol w:w="8112"/>
          </w:tblGrid>
        </w:tblGridChange>
      </w:tblGrid>
      <w:tr>
        <w:trPr>
          <w:cantSplit w:val="0"/>
          <w:tblHeader w:val="0"/>
        </w:trPr>
        <w:tc>
          <w:tcPr>
            <w:shd w:fill="auto" w:val="clear"/>
          </w:tcPr>
          <w:p w:rsidR="00000000" w:rsidDel="00000000" w:rsidP="00000000" w:rsidRDefault="00000000" w:rsidRPr="00000000" w14:paraId="000000D7">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shd w:fill="auto" w:val="clear"/>
          </w:tcPr>
          <w:p w:rsidR="00000000" w:rsidDel="00000000" w:rsidP="00000000" w:rsidRDefault="00000000" w:rsidRPr="00000000" w14:paraId="000000D8">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vMerge w:val="restart"/>
            <w:shd w:fill="auto" w:val="clear"/>
          </w:tcPr>
          <w:p w:rsidR="00000000" w:rsidDel="00000000" w:rsidP="00000000" w:rsidRDefault="00000000" w:rsidRPr="00000000" w14:paraId="000000D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shd w:fill="auto" w:val="clear"/>
          </w:tcPr>
          <w:p w:rsidR="00000000" w:rsidDel="00000000" w:rsidP="00000000" w:rsidRDefault="00000000" w:rsidRPr="00000000" w14:paraId="000000D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Utilizarea adecvată a următoarelor concepte: logică formală; logică informală; validitate; persuasiune; tehnici de manipulare; erori logice. </w:t>
            </w:r>
          </w:p>
        </w:tc>
      </w:tr>
      <w:tr>
        <w:trPr>
          <w:cantSplit w:val="0"/>
          <w:trHeight w:val="345" w:hRule="atLeast"/>
          <w:tblHeader w:val="0"/>
        </w:trPr>
        <w:tc>
          <w:tcPr>
            <w:vMerge w:val="continue"/>
            <w:shd w:fill="auto" w:val="clear"/>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D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minimală de a folosi criteriile pentru analiza argumentelor în evaluarea discursului public, a unui argument vizual și a unui argument narativ. </w:t>
            </w:r>
          </w:p>
        </w:tc>
      </w:tr>
      <w:tr>
        <w:trPr>
          <w:cantSplit w:val="0"/>
          <w:trHeight w:val="441" w:hRule="atLeast"/>
          <w:tblHeader w:val="0"/>
        </w:trPr>
        <w:tc>
          <w:tcPr>
            <w:vMerge w:val="continue"/>
            <w:shd w:fill="auto" w:val="clea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D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Identificarea corectă a unui argument vizual și narativ.</w:t>
            </w:r>
          </w:p>
        </w:tc>
      </w:tr>
      <w:tr>
        <w:trPr>
          <w:cantSplit w:val="0"/>
          <w:trHeight w:val="441" w:hRule="atLeast"/>
          <w:tblHeader w:val="0"/>
        </w:trPr>
        <w:tc>
          <w:tcPr>
            <w:vMerge w:val="continue"/>
            <w:shd w:fill="auto" w:val="clear"/>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E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parafraza corect un citat de specialitate. </w:t>
            </w:r>
          </w:p>
        </w:tc>
      </w:tr>
      <w:tr>
        <w:trPr>
          <w:cantSplit w:val="0"/>
          <w:trHeight w:val="315" w:hRule="atLeast"/>
          <w:tblHeader w:val="0"/>
        </w:trPr>
        <w:tc>
          <w:tcPr>
            <w:vMerge w:val="restart"/>
            <w:shd w:fill="auto" w:val="clear"/>
          </w:tcPr>
          <w:p w:rsidR="00000000" w:rsidDel="00000000" w:rsidP="00000000" w:rsidRDefault="00000000" w:rsidRPr="00000000" w14:paraId="000000E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shd w:fill="auto" w:val="clear"/>
          </w:tcPr>
          <w:p w:rsidR="00000000" w:rsidDel="00000000" w:rsidP="00000000" w:rsidRDefault="00000000" w:rsidRPr="00000000" w14:paraId="000000E2">
            <w:pPr>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Înțelegerea și utilizarea adecvată a următoarelor concepte: raționament deductiv; raționament inductiv; </w:t>
            </w:r>
            <w:r w:rsidDel="00000000" w:rsidR="00000000" w:rsidRPr="00000000">
              <w:rPr>
                <w:rFonts w:ascii="Times New Roman" w:cs="Times New Roman" w:eastAsia="Times New Roman" w:hAnsi="Times New Roman"/>
                <w:i w:val="1"/>
                <w:iCs w:val="1"/>
                <w:rtl w:val="0"/>
              </w:rPr>
              <w:t xml:space="preserve">modus ponens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ad hominem</w:t>
            </w:r>
            <w:r w:rsidDel="00000000" w:rsidR="00000000" w:rsidRPr="00000000">
              <w:rPr>
                <w:rFonts w:ascii="Times New Roman" w:cs="Times New Roman" w:eastAsia="Times New Roman" w:hAnsi="Times New Roman"/>
                <w:rtl w:val="0"/>
              </w:rPr>
              <w:t xml:space="preserve">; ”om de paie”; ”pantă alunecoasă”; ”hering roșu”; apel la autoritate; apel la tradiție; apel la recomandare; </w:t>
            </w:r>
            <w:r w:rsidDel="00000000" w:rsidR="00000000" w:rsidRPr="00000000">
              <w:rPr>
                <w:rFonts w:ascii="Times New Roman" w:cs="Times New Roman" w:eastAsia="Times New Roman" w:hAnsi="Times New Roman"/>
                <w:i w:val="1"/>
                <w:iCs w:val="1"/>
                <w:rtl w:val="0"/>
              </w:rPr>
              <w:t xml:space="preserve">ethos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pathos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logos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 </w:t>
            </w:r>
          </w:p>
        </w:tc>
      </w:tr>
      <w:tr>
        <w:trPr>
          <w:cantSplit w:val="0"/>
          <w:trHeight w:val="315" w:hRule="atLeast"/>
          <w:tblHeader w:val="0"/>
        </w:trPr>
        <w:tc>
          <w:tcPr>
            <w:vMerge w:val="continue"/>
            <w:shd w:fill="auto" w:val="clear"/>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rPr>
            </w:pPr>
            <w:r w:rsidDel="00000000" w:rsidR="00000000" w:rsidRPr="00000000">
              <w:rPr>
                <w:rtl w:val="0"/>
              </w:rPr>
            </w:r>
          </w:p>
        </w:tc>
        <w:tc>
          <w:tcPr>
            <w:shd w:fill="auto" w:val="clear"/>
          </w:tcPr>
          <w:p w:rsidR="00000000" w:rsidDel="00000000" w:rsidP="00000000" w:rsidRDefault="00000000" w:rsidRPr="00000000" w14:paraId="000000E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Utilizarea metodologiilor specifice teoriei argumentării: analiza premiselor şi concluziilor unui argument narativ sau vizual. </w:t>
            </w:r>
          </w:p>
        </w:tc>
      </w:tr>
      <w:tr>
        <w:trPr>
          <w:cantSplit w:val="0"/>
          <w:trHeight w:val="324" w:hRule="atLeast"/>
          <w:tblHeader w:val="0"/>
        </w:trPr>
        <w:tc>
          <w:tcPr>
            <w:vMerge w:val="continue"/>
            <w:shd w:fill="auto" w:val="clea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E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identifica corect în discursul public sau mediatic un argument vizual ce dispune de acordul unei comunităţi. </w:t>
            </w:r>
          </w:p>
        </w:tc>
      </w:tr>
      <w:tr>
        <w:trPr>
          <w:cantSplit w:val="0"/>
          <w:trHeight w:val="273" w:hRule="atLeast"/>
          <w:tblHeader w:val="0"/>
        </w:trPr>
        <w:tc>
          <w:tcPr>
            <w:vMerge w:val="continue"/>
            <w:shd w:fill="auto" w:val="clear"/>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E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identifica corect şi argumentat un argument narativ. </w:t>
            </w:r>
          </w:p>
        </w:tc>
      </w:tr>
    </w:tbl>
    <w:p w:rsidR="00000000" w:rsidDel="00000000" w:rsidP="00000000" w:rsidRDefault="00000000" w:rsidRPr="00000000" w14:paraId="000000E9">
      <w:pPr>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EA">
      <w:pPr>
        <w:ind w:right="-567"/>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4. Condiţii obligatorii de participare:</w:t>
      </w:r>
    </w:p>
    <w:p w:rsidR="00000000" w:rsidDel="00000000" w:rsidP="00000000" w:rsidRDefault="00000000" w:rsidRPr="00000000" w14:paraId="000000EB">
      <w:pPr>
        <w:pBdr>
          <w:top w:space="0" w:sz="0" w:val="nil"/>
          <w:left w:space="0" w:sz="0" w:val="nil"/>
          <w:bottom w:space="0" w:sz="0" w:val="nil"/>
          <w:right w:space="0" w:sz="0" w:val="nil"/>
          <w:between w:space="0" w:sz="0" w:val="nil"/>
        </w:pBdr>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Prezența la minimum 50% din seminarii.  Nerespectarea acestei condiții are drept rezultat: 1. nepromovarea seminarului, 2. participarea la examenul din sesiunea de restanțe. </w:t>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24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F. REPERE METODOLOGICE</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i w:val="1"/>
          <w:iCs w:val="1"/>
          <w:color w:val="000000"/>
          <w:rtl w:val="0"/>
        </w:rPr>
        <w:t xml:space="preserve">Strategia didactică, materiale, resurse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ED">
      <w:pPr>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folosită în cadrul seminarului de Gîndire Crticiă şi Scriere Academică se bazează pe o metodă de analiză logică, şi are în vedere acumularea conţinuturilor de către studenţi pentru a contextualiza mai eficace cunoaşterea lor prezentă. Cadrul didactic face eforturi de transpunere didactică – transformarea informației de învățat într-un format adaptat stării de înțelegere curentă a studenților/studentelor. </w:t>
      </w:r>
    </w:p>
    <w:p w:rsidR="00000000" w:rsidDel="00000000" w:rsidP="00000000" w:rsidRDefault="00000000" w:rsidRPr="00000000" w14:paraId="000000EE">
      <w:pP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tbl>
      <w:tblPr>
        <w:tblStyle w:val="Table8"/>
        <w:tblW w:w="974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4096"/>
        <w:gridCol w:w="4898"/>
        <w:tblGridChange w:id="0">
          <w:tblGrid>
            <w:gridCol w:w="753"/>
            <w:gridCol w:w="4096"/>
            <w:gridCol w:w="4898"/>
          </w:tblGrid>
        </w:tblGridChange>
      </w:tblGrid>
      <w:tr>
        <w:trPr>
          <w:cantSplit w:val="0"/>
          <w:tblHeader w:val="0"/>
        </w:trPr>
        <w:tc>
          <w:tcPr>
            <w:shd w:fill="auto" w:val="clear"/>
          </w:tcPr>
          <w:p w:rsidR="00000000" w:rsidDel="00000000" w:rsidP="00000000" w:rsidRDefault="00000000" w:rsidRPr="00000000" w14:paraId="000000EF">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w:t>
            </w:r>
          </w:p>
        </w:tc>
        <w:tc>
          <w:tcPr>
            <w:shd w:fill="auto" w:val="clear"/>
          </w:tcPr>
          <w:p w:rsidR="00000000" w:rsidDel="00000000" w:rsidP="00000000" w:rsidRDefault="00000000" w:rsidRPr="00000000" w14:paraId="000000F0">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Nume material/resursă didactică</w:t>
            </w:r>
          </w:p>
        </w:tc>
        <w:tc>
          <w:tcPr>
            <w:shd w:fill="auto" w:val="clear"/>
          </w:tcPr>
          <w:p w:rsidR="00000000" w:rsidDel="00000000" w:rsidP="00000000" w:rsidRDefault="00000000" w:rsidRPr="00000000" w14:paraId="000000F1">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Utilizat/ă în:</w:t>
            </w:r>
          </w:p>
        </w:tc>
      </w:tr>
      <w:tr>
        <w:trPr>
          <w:cantSplit w:val="0"/>
          <w:tblHeader w:val="0"/>
        </w:trPr>
        <w:tc>
          <w:tcPr>
            <w:shd w:fill="auto" w:val="clear"/>
          </w:tcPr>
          <w:p w:rsidR="00000000" w:rsidDel="00000000" w:rsidP="00000000" w:rsidRDefault="00000000" w:rsidRPr="00000000" w14:paraId="000000F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Pr>
          <w:p w:rsidR="00000000" w:rsidDel="00000000" w:rsidP="00000000" w:rsidRDefault="00000000" w:rsidRPr="00000000" w14:paraId="000000F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Bibliografia (adaptată temelor propuse); Filmografia (pentru analiza discursului public și politic).  </w:t>
            </w:r>
          </w:p>
        </w:tc>
        <w:tc>
          <w:tcPr>
            <w:shd w:fill="auto" w:val="clear"/>
          </w:tcPr>
          <w:p w:rsidR="00000000" w:rsidDel="00000000" w:rsidP="00000000" w:rsidRDefault="00000000" w:rsidRPr="00000000" w14:paraId="000000F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Dezvoltarea capacităților de citire/vizionare critică, prezentare, discutare și analizare a argumentelor și informațiilor. </w:t>
            </w:r>
          </w:p>
        </w:tc>
      </w:tr>
      <w:tr>
        <w:trPr>
          <w:cantSplit w:val="0"/>
          <w:tblHeader w:val="0"/>
        </w:trPr>
        <w:tc>
          <w:tcPr>
            <w:shd w:fill="auto" w:val="clear"/>
          </w:tcPr>
          <w:p w:rsidR="00000000" w:rsidDel="00000000" w:rsidP="00000000" w:rsidRDefault="00000000" w:rsidRPr="00000000" w14:paraId="000000F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Pr>
          <w:p w:rsidR="00000000" w:rsidDel="00000000" w:rsidP="00000000" w:rsidRDefault="00000000" w:rsidRPr="00000000" w14:paraId="000000F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Materiale suport de seminar pentru prezentarea normelor de scriere academică. Resurse online. </w:t>
            </w:r>
          </w:p>
        </w:tc>
        <w:tc>
          <w:tcPr>
            <w:shd w:fill="auto" w:val="clear"/>
          </w:tcPr>
          <w:p w:rsidR="00000000" w:rsidDel="00000000" w:rsidP="00000000" w:rsidRDefault="00000000" w:rsidRPr="00000000" w14:paraId="000000F7">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Facilitarea dezvoltării capacităţii de a redacta lucrări şi proiecte academice. </w:t>
            </w:r>
          </w:p>
          <w:p w:rsidR="00000000" w:rsidDel="00000000" w:rsidP="00000000" w:rsidRDefault="00000000" w:rsidRPr="00000000" w14:paraId="000000F8">
            <w:pPr>
              <w:spacing w:after="0" w:lineRule="auto"/>
              <w:jc w:val="both"/>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F9">
      <w:pP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bl>
      <w:tblPr>
        <w:tblStyle w:val="Table9"/>
        <w:tblpPr w:leftFromText="180" w:rightFromText="180" w:topFromText="0" w:bottomFromText="0" w:vertAnchor="text" w:horzAnchor="text" w:tblpX="0" w:tblpY="1178"/>
        <w:tblW w:w="9347.0" w:type="dxa"/>
        <w:jc w:val="left"/>
        <w:tblLayout w:type="fixed"/>
        <w:tblLook w:val="0000"/>
      </w:tblPr>
      <w:tblGrid>
        <w:gridCol w:w="815"/>
        <w:gridCol w:w="1496"/>
        <w:gridCol w:w="2719"/>
        <w:gridCol w:w="1870"/>
        <w:gridCol w:w="1224"/>
        <w:gridCol w:w="1223"/>
        <w:tblGridChange w:id="0">
          <w:tblGrid>
            <w:gridCol w:w="815"/>
            <w:gridCol w:w="1496"/>
            <w:gridCol w:w="2719"/>
            <w:gridCol w:w="1870"/>
            <w:gridCol w:w="1224"/>
            <w:gridCol w:w="1223"/>
          </w:tblGrid>
        </w:tblGridChange>
      </w:tblGrid>
      <w:tr>
        <w:trPr>
          <w:cantSplit w:val="0"/>
          <w:trHeight w:val="54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B">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text</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-90166</wp:posOffset>
                      </wp:positionH>
                      <wp:positionV relativeFrom="paragraph">
                        <wp:posOffset>-582291</wp:posOffset>
                      </wp:positionV>
                      <wp:extent cx="4629150" cy="390525"/>
                      <wp:effectExtent b="0" l="0" r="0" t="0"/>
                      <wp:wrapNone/>
                      <wp:docPr id="3" name=""/>
                      <a:graphic>
                        <a:graphicData uri="http://schemas.microsoft.com/office/word/2010/wordprocessingShape">
                          <wps:wsp>
                            <wps:cNvSpPr/>
                            <wps:cNvPr id="2" name="Shape 2"/>
                            <wps:spPr>
                              <a:xfrm>
                                <a:off x="3036188" y="3589500"/>
                                <a:ext cx="4619625" cy="381000"/>
                              </a:xfrm>
                              <a:prstGeom prst="rect">
                                <a:avLst/>
                              </a:prstGeom>
                              <a:solidFill>
                                <a:srgbClr val="FFFFFF"/>
                              </a:solidFill>
                              <a:ln>
                                <a:noFill/>
                              </a:ln>
                            </wps:spPr>
                            <wps:txbx>
                              <w:txbxContent>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G. BIBLIOGRAFIE</w:t>
                                  </w:r>
                                  <w:r w:rsidDel="00000000" w:rsidR="00000000" w:rsidRPr="00000000">
                                    <w:rPr>
                                      <w:rFonts w:ascii="Arial" w:cs="Arial" w:eastAsia="Arial" w:hAnsi="Arial"/>
                                      <w:b w:val="1"/>
                                      <w:i w:val="0"/>
                                      <w:smallCaps w:val="0"/>
                                      <w:strike w:val="0"/>
                                      <w:color w:val="000000"/>
                                      <w:sz w:val="23"/>
                                      <w:vertAlign w:val="baseline"/>
                                    </w:rPr>
                                    <w:t xml:space="preserve"> </w:t>
                                  </w:r>
                                  <w:r w:rsidDel="00000000" w:rsidR="00000000" w:rsidRPr="00000000">
                                    <w:rPr>
                                      <w:rFonts w:ascii="Arial" w:cs="Arial" w:eastAsia="Arial" w:hAnsi="Arial"/>
                                      <w:b w:val="0"/>
                                      <w:i w:val="0"/>
                                      <w:smallCaps w:val="0"/>
                                      <w:strike w:val="0"/>
                                      <w:color w:val="000000"/>
                                      <w:sz w:val="23"/>
                                      <w:vertAlign w:val="baseline"/>
                                    </w:rPr>
                                    <w:t xml:space="preserve">(</w:t>
                                  </w:r>
                                  <w:r w:rsidDel="00000000" w:rsidR="00000000" w:rsidRPr="00000000">
                                    <w:rPr>
                                      <w:rFonts w:ascii="Arial" w:cs="Arial" w:eastAsia="Arial" w:hAnsi="Arial"/>
                                      <w:b w:val="0"/>
                                      <w:i w:val="1"/>
                                      <w:smallCaps w:val="0"/>
                                      <w:strike w:val="0"/>
                                      <w:color w:val="000000"/>
                                      <w:sz w:val="23"/>
                                      <w:vertAlign w:val="baseline"/>
                                    </w:rPr>
                                    <w:t xml:space="preserve">Se indică bibliografia minimală obligatorie</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1"/>
                                      <w:smallCaps w:val="0"/>
                                      <w:strike w:val="0"/>
                                      <w:color w:val="000000"/>
                                      <w:sz w:val="23"/>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-90166</wp:posOffset>
                      </wp:positionH>
                      <wp:positionV relativeFrom="paragraph">
                        <wp:posOffset>-582291</wp:posOffset>
                      </wp:positionV>
                      <wp:extent cx="4629150" cy="390525"/>
                      <wp:effectExtent b="0" l="0" r="0" t="0"/>
                      <wp:wrapNone/>
                      <wp:docPr id="3"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4629150" cy="390525"/>
                              </a:xfrm>
                              <a:prstGeom prst="rect"/>
                              <a:ln/>
                            </pic:spPr>
                          </pic:pic>
                        </a:graphicData>
                      </a:graphic>
                    </wp:anchor>
                  </w:drawing>
                </mc:Fallback>
              </mc:AlternateConten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C">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Autor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D">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Titlul lucrării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E">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Editură/ jurnal/an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F">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Paginile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0">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Utilizat în:</w:t>
            </w:r>
          </w:p>
        </w:tc>
      </w:tr>
      <w:tr>
        <w:trPr>
          <w:cantSplit w:val="0"/>
          <w:trHeight w:val="1055"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Fieser, J.; Dowden, B.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3">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 ”Deductive and Inductive Arguments”, în </w:t>
            </w:r>
            <w:r w:rsidDel="00000000" w:rsidR="00000000" w:rsidRPr="00000000">
              <w:rPr>
                <w:rFonts w:ascii="Times New Roman" w:cs="Times New Roman" w:eastAsia="Times New Roman" w:hAnsi="Times New Roman"/>
                <w:i w:val="1"/>
                <w:iCs w:val="1"/>
                <w:rtl w:val="0"/>
              </w:rPr>
              <w:t xml:space="preserve">Internet Encyclopedia of Philosophy</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University of Tennessee at Martin, ongoing update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5">
            <w:pPr>
              <w:spacing w:after="0" w:lineRule="auto"/>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color w:val="0000ff"/>
                  <w:u w:val="single"/>
                  <w:rtl w:val="0"/>
                </w:rPr>
                <w:t xml:space="preserve">https://iep.utm.edu/deductive-inductive-arguments/</w:t>
              </w:r>
            </w:hyperlink>
            <w:r w:rsidDel="00000000" w:rsidR="00000000" w:rsidRPr="00000000">
              <w:rPr>
                <w:rFonts w:ascii="Times New Roman" w:cs="Times New Roman" w:eastAsia="Times New Roman" w:hAnsi="Times New Roman"/>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w:t>
            </w:r>
          </w:p>
        </w:tc>
      </w:tr>
      <w:tr>
        <w:trPr>
          <w:cantSplit w:val="0"/>
          <w:trHeight w:val="54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Jack Selzer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Rhetorical Analysis: Understanding</w:t>
            </w:r>
          </w:p>
          <w:p w:rsidR="00000000" w:rsidDel="00000000" w:rsidP="00000000" w:rsidRDefault="00000000" w:rsidRPr="00000000" w14:paraId="0000010A">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How Texts Persuade Readers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Lawrence Erlbaum Associates, 2004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279-309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w:t>
            </w:r>
          </w:p>
        </w:tc>
      </w:tr>
      <w:tr>
        <w:trPr>
          <w:cantSplit w:val="0"/>
          <w:trHeight w:val="54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Sloane, T. O.</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Encyclopedia of Rhetoric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Oxford University Press, 2001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Vol. I, 1-4, </w:t>
            </w:r>
          </w:p>
          <w:p w:rsidR="00000000" w:rsidDel="00000000" w:rsidP="00000000" w:rsidRDefault="00000000" w:rsidRPr="00000000" w14:paraId="0000011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290-299.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S3</w:t>
            </w:r>
          </w:p>
        </w:tc>
      </w:tr>
      <w:tr>
        <w:trPr>
          <w:cantSplit w:val="0"/>
          <w:trHeight w:val="1057"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Hill, C. A.;</w:t>
            </w:r>
          </w:p>
          <w:p w:rsidR="00000000" w:rsidDel="00000000" w:rsidP="00000000" w:rsidRDefault="00000000" w:rsidRPr="00000000" w14:paraId="0000011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Helmers, M.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8">
            <w:pPr>
              <w:spacing w:after="0" w:line="24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Defining Visual Rhetorics</w:t>
            </w:r>
          </w:p>
          <w:p w:rsidR="00000000" w:rsidDel="00000000" w:rsidP="00000000" w:rsidRDefault="00000000" w:rsidRPr="00000000" w14:paraId="00000119">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A">
            <w:pPr>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B">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Lawrence Erlbaum Associates, 2004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5-20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S3</w:t>
            </w:r>
          </w:p>
        </w:tc>
      </w:tr>
      <w:tr>
        <w:trPr>
          <w:cantSplit w:val="0"/>
          <w:trHeight w:val="1123"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Weiler, M.,</w:t>
            </w:r>
          </w:p>
          <w:p w:rsidR="00000000" w:rsidDel="00000000" w:rsidP="00000000" w:rsidRDefault="00000000" w:rsidRPr="00000000" w14:paraId="00000120">
            <w:pP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1">
            <w:pPr>
              <w:spacing w:after="0" w:line="24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”Arguments in Fiction”, în D. C. Williams, M. D. Hazen (eds.), </w:t>
            </w:r>
            <w:r w:rsidDel="00000000" w:rsidR="00000000" w:rsidRPr="00000000">
              <w:rPr>
                <w:rFonts w:ascii="Times New Roman" w:cs="Times New Roman" w:eastAsia="Times New Roman" w:hAnsi="Times New Roman"/>
                <w:i w:val="1"/>
                <w:iCs w:val="1"/>
                <w:rtl w:val="0"/>
              </w:rPr>
              <w:t xml:space="preserve">Argumentation Theory and the Rhetoric of Assent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University of Alabama Press, 1990</w:t>
            </w:r>
          </w:p>
          <w:p w:rsidR="00000000" w:rsidDel="00000000" w:rsidP="00000000" w:rsidRDefault="00000000" w:rsidRPr="00000000" w14:paraId="00000123">
            <w:pP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103-110</w:t>
            </w:r>
          </w:p>
          <w:p w:rsidR="00000000" w:rsidDel="00000000" w:rsidP="00000000" w:rsidRDefault="00000000" w:rsidRPr="00000000" w14:paraId="00000125">
            <w:pP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S4</w:t>
            </w:r>
          </w:p>
          <w:p w:rsidR="00000000" w:rsidDel="00000000" w:rsidP="00000000" w:rsidRDefault="00000000" w:rsidRPr="00000000" w14:paraId="00000127">
            <w:pPr>
              <w:spacing w:after="0" w:lineRule="auto"/>
              <w:rPr>
                <w:rFonts w:ascii="Times New Roman" w:cs="Times New Roman" w:eastAsia="Times New Roman" w:hAnsi="Times New Roman"/>
              </w:rPr>
            </w:pPr>
            <w:r w:rsidDel="00000000" w:rsidR="00000000" w:rsidRPr="00000000">
              <w:rPr>
                <w:rtl w:val="0"/>
              </w:rPr>
            </w:r>
          </w:p>
        </w:tc>
      </w:tr>
      <w:tr>
        <w:trPr>
          <w:cantSplit w:val="0"/>
          <w:trHeight w:val="97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University of Chicago Press Staff</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Chicago Manual of Style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University of Chicago Press, 2010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C">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S5-S6</w:t>
            </w:r>
          </w:p>
        </w:tc>
      </w:tr>
    </w:tbl>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2F">
      <w:pPr>
        <w:ind w:right="-567"/>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130">
      <w:pPr>
        <w:ind w:right="-567"/>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31">
      <w:pPr>
        <w:ind w:right="-567"/>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32">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w:t>
        <w:tab/>
        <w:t xml:space="preserve">TITULAR DE DISCIPLINĂ, </w:t>
      </w:r>
      <w:r w:rsidDel="00000000" w:rsidR="00000000" w:rsidRPr="00000000">
        <w:rPr>
          <w:rtl w:val="0"/>
        </w:rPr>
      </w:r>
    </w:p>
    <w:p w:rsidR="00000000" w:rsidDel="00000000" w:rsidP="00000000" w:rsidRDefault="00000000" w:rsidRPr="00000000" w14:paraId="00000133">
      <w:pPr>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Craciun                                                                 Conf. Univ. Dr. Brîndușa Palade</w:t>
      </w:r>
    </w:p>
    <w:p w:rsidR="00000000" w:rsidDel="00000000" w:rsidP="00000000" w:rsidRDefault="00000000" w:rsidRPr="00000000" w14:paraId="00000134">
      <w:pPr>
        <w:spacing w:line="360" w:lineRule="auto"/>
        <w:ind w:right="-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5">
      <w:pPr>
        <w:rPr>
          <w:rFonts w:ascii="Times New Roman" w:cs="Times New Roman" w:eastAsia="Times New Roman" w:hAnsi="Times New Roman"/>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A">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B">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C">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Style w:val="FootnoteReference"/>
          <w:vertAlign w:val="superscript"/>
        </w:rPr>
        <w:footnoteRef/>
      </w:r>
      <w:r w:rsidDel="00000000" w:rsidR="00000000" w:rsidRPr="00000000">
        <w:rPr>
          <w:rFonts w:ascii="Noto Sans Symbols" w:cs="Noto Sans Symbols" w:eastAsia="Noto Sans Symbols" w:hAnsi="Noto Sans Symbols"/>
          <w:color w:val="000000"/>
          <w:sz w:val="20"/>
          <w:szCs w:val="20"/>
          <w:vertAlign w:val="superscript"/>
          <w:rtl w:val="0"/>
        </w:rPr>
        <w:t xml:space="preserve">*</w:t>
      </w:r>
      <w:r w:rsidDel="00000000" w:rsidR="00000000" w:rsidRPr="00000000">
        <w:rPr>
          <w:color w:val="000000"/>
          <w:sz w:val="20"/>
          <w:szCs w:val="20"/>
          <w:rtl w:val="0"/>
        </w:rPr>
        <w:t xml:space="preserve"> Se va menţiona: </w:t>
      </w:r>
      <w:r w:rsidDel="00000000" w:rsidR="00000000" w:rsidRPr="00000000">
        <w:rPr>
          <w:i w:val="1"/>
          <w:iCs w:val="1"/>
          <w:color w:val="000000"/>
          <w:sz w:val="20"/>
          <w:szCs w:val="20"/>
          <w:rtl w:val="0"/>
        </w:rPr>
        <w:t xml:space="preserve">seminar, laborator, proiect sau practică</w:t>
      </w:r>
      <w:r w:rsidDel="00000000" w:rsidR="00000000" w:rsidRPr="00000000">
        <w:rPr>
          <w:color w:val="000000"/>
          <w:sz w:val="20"/>
          <w:szCs w:val="20"/>
          <w:rtl w:val="0"/>
        </w:rPr>
        <w:t xml:space="preserv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7">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8">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b w:val="1"/>
        <w:bCs w:val="1"/>
        <w:color w:val="000000"/>
        <w:sz w:val="20"/>
        <w:szCs w:val="20"/>
      </w:rPr>
    </w:pPr>
    <w:r w:rsidDel="00000000" w:rsidR="00000000" w:rsidRPr="00000000">
      <w:rPr>
        <w:color w:val="000000"/>
      </w:rPr>
      <w:drawing>
        <wp:inline distB="0" distT="0" distL="0" distR="0">
          <wp:extent cx="4194138" cy="475874"/>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9">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2835" w:hanging="360"/>
      </w:pPr>
      <w:rPr>
        <w:rFonts w:ascii="Times New Roman" w:cs="Times New Roman" w:eastAsia="Times New Roman" w:hAnsi="Times New Roman"/>
      </w:rPr>
    </w:lvl>
    <w:lvl w:ilvl="1">
      <w:start w:val="1"/>
      <w:numFmt w:val="bullet"/>
      <w:lvlText w:val="o"/>
      <w:lvlJc w:val="left"/>
      <w:pPr>
        <w:ind w:left="3735" w:hanging="360"/>
      </w:pPr>
      <w:rPr>
        <w:rFonts w:ascii="Courier New" w:cs="Courier New" w:eastAsia="Courier New" w:hAnsi="Courier New"/>
      </w:rPr>
    </w:lvl>
    <w:lvl w:ilvl="2">
      <w:start w:val="1"/>
      <w:numFmt w:val="bullet"/>
      <w:lvlText w:val="▪"/>
      <w:lvlJc w:val="left"/>
      <w:pPr>
        <w:ind w:left="4455" w:hanging="360"/>
      </w:pPr>
      <w:rPr>
        <w:rFonts w:ascii="Noto Sans Symbols" w:cs="Noto Sans Symbols" w:eastAsia="Noto Sans Symbols" w:hAnsi="Noto Sans Symbols"/>
      </w:rPr>
    </w:lvl>
    <w:lvl w:ilvl="3">
      <w:start w:val="1"/>
      <w:numFmt w:val="bullet"/>
      <w:lvlText w:val="●"/>
      <w:lvlJc w:val="left"/>
      <w:pPr>
        <w:ind w:left="5175" w:hanging="360"/>
      </w:pPr>
      <w:rPr>
        <w:rFonts w:ascii="Noto Sans Symbols" w:cs="Noto Sans Symbols" w:eastAsia="Noto Sans Symbols" w:hAnsi="Noto Sans Symbols"/>
      </w:rPr>
    </w:lvl>
    <w:lvl w:ilvl="4">
      <w:start w:val="1"/>
      <w:numFmt w:val="bullet"/>
      <w:lvlText w:val="o"/>
      <w:lvlJc w:val="left"/>
      <w:pPr>
        <w:ind w:left="5895" w:hanging="360"/>
      </w:pPr>
      <w:rPr>
        <w:rFonts w:ascii="Courier New" w:cs="Courier New" w:eastAsia="Courier New" w:hAnsi="Courier New"/>
      </w:rPr>
    </w:lvl>
    <w:lvl w:ilvl="5">
      <w:start w:val="1"/>
      <w:numFmt w:val="bullet"/>
      <w:lvlText w:val="▪"/>
      <w:lvlJc w:val="left"/>
      <w:pPr>
        <w:ind w:left="6615" w:hanging="360"/>
      </w:pPr>
      <w:rPr>
        <w:rFonts w:ascii="Noto Sans Symbols" w:cs="Noto Sans Symbols" w:eastAsia="Noto Sans Symbols" w:hAnsi="Noto Sans Symbols"/>
      </w:rPr>
    </w:lvl>
    <w:lvl w:ilvl="6">
      <w:start w:val="1"/>
      <w:numFmt w:val="bullet"/>
      <w:lvlText w:val="●"/>
      <w:lvlJc w:val="left"/>
      <w:pPr>
        <w:ind w:left="7335" w:hanging="360"/>
      </w:pPr>
      <w:rPr>
        <w:rFonts w:ascii="Noto Sans Symbols" w:cs="Noto Sans Symbols" w:eastAsia="Noto Sans Symbols" w:hAnsi="Noto Sans Symbols"/>
      </w:rPr>
    </w:lvl>
    <w:lvl w:ilvl="7">
      <w:start w:val="1"/>
      <w:numFmt w:val="bullet"/>
      <w:lvlText w:val="o"/>
      <w:lvlJc w:val="left"/>
      <w:pPr>
        <w:ind w:left="8055" w:hanging="360"/>
      </w:pPr>
      <w:rPr>
        <w:rFonts w:ascii="Courier New" w:cs="Courier New" w:eastAsia="Courier New" w:hAnsi="Courier New"/>
      </w:rPr>
    </w:lvl>
    <w:lvl w:ilvl="8">
      <w:start w:val="1"/>
      <w:numFmt w:val="bullet"/>
      <w:lvlText w:val="▪"/>
      <w:lvlJc w:val="left"/>
      <w:pPr>
        <w:ind w:left="8775" w:hanging="360"/>
      </w:pPr>
      <w:rPr>
        <w:rFonts w:ascii="Noto Sans Symbols" w:cs="Noto Sans Symbols" w:eastAsia="Noto Sans Symbols" w:hAnsi="Noto Sans Symbols"/>
      </w:rPr>
    </w:lvl>
  </w:abstractNum>
  <w:abstractNum w:abstractNumId="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table" w:styleId="a" w:customStyle="1">
    <w:basedOn w:val="TableNormal0"/>
    <w:tblPr>
      <w:tblStyleRowBandSize w:val="1"/>
      <w:tblStyleColBandSize w:val="1"/>
      <w:tblCellMar>
        <w:top w:w="0.0" w:type="dxa"/>
        <w:left w:w="115.0" w:type="dxa"/>
        <w:bottom w:w="0.0" w:type="dxa"/>
        <w:right w:w="115.0" w:type="dxa"/>
      </w:tblCellMar>
    </w:tblPr>
  </w:style>
  <w:style w:type="table" w:styleId="a0" w:customStyle="1">
    <w:basedOn w:val="TableNormal0"/>
    <w:tblPr>
      <w:tblStyleRowBandSize w:val="1"/>
      <w:tblStyleColBandSize w:val="1"/>
      <w:tblCellMar>
        <w:top w:w="0.0" w:type="dxa"/>
        <w:left w:w="115.0" w:type="dxa"/>
        <w:bottom w:w="0.0" w:type="dxa"/>
        <w:right w:w="115.0" w:type="dxa"/>
      </w:tblCellMar>
    </w:tblPr>
  </w:style>
  <w:style w:type="table" w:styleId="a1" w:customStyle="1">
    <w:basedOn w:val="TableNormal0"/>
    <w:tblPr>
      <w:tblStyleRowBandSize w:val="1"/>
      <w:tblStyleColBandSize w:val="1"/>
      <w:tblCellMar>
        <w:top w:w="0.0" w:type="dxa"/>
        <w:left w:w="108.0" w:type="dxa"/>
        <w:bottom w:w="0.0" w:type="dxa"/>
        <w:right w:w="108.0" w:type="dxa"/>
      </w:tblCellMar>
    </w:tblPr>
  </w:style>
  <w:style w:type="table" w:styleId="a2" w:customStyle="1">
    <w:basedOn w:val="TableNormal0"/>
    <w:tblPr>
      <w:tblStyleRowBandSize w:val="1"/>
      <w:tblStyleColBandSize w:val="1"/>
      <w:tblCellMar>
        <w:top w:w="0.0" w:type="dxa"/>
        <w:left w:w="108.0" w:type="dxa"/>
        <w:bottom w:w="0.0" w:type="dxa"/>
        <w:right w:w="108.0" w:type="dxa"/>
      </w:tblCellMar>
    </w:tblPr>
  </w:style>
  <w:style w:type="table" w:styleId="a3" w:customStyle="1">
    <w:basedOn w:val="TableNormal0"/>
    <w:tblPr>
      <w:tblStyleRowBandSize w:val="1"/>
      <w:tblStyleColBandSize w:val="1"/>
      <w:tblCellMar>
        <w:top w:w="0.0" w:type="dxa"/>
        <w:left w:w="115.0" w:type="dxa"/>
        <w:bottom w:w="0.0" w:type="dxa"/>
        <w:right w:w="115.0" w:type="dxa"/>
      </w:tblCellMar>
    </w:tblPr>
  </w:style>
  <w:style w:type="table" w:styleId="a4" w:customStyle="1">
    <w:basedOn w:val="TableNormal0"/>
    <w:tblPr>
      <w:tblStyleRowBandSize w:val="1"/>
      <w:tblStyleColBandSize w:val="1"/>
      <w:tblCellMar>
        <w:top w:w="0.0" w:type="dxa"/>
        <w:left w:w="115.0" w:type="dxa"/>
        <w:bottom w:w="0.0" w:type="dxa"/>
        <w:right w:w="115.0" w:type="dxa"/>
      </w:tblCellMar>
    </w:tblPr>
  </w:style>
  <w:style w:type="table" w:styleId="a5" w:customStyle="1">
    <w:basedOn w:val="TableNormal0"/>
    <w:tblPr>
      <w:tblStyleRowBandSize w:val="1"/>
      <w:tblStyleColBandSize w:val="1"/>
      <w:tblCellMar>
        <w:top w:w="0.0" w:type="dxa"/>
        <w:left w:w="115.0" w:type="dxa"/>
        <w:bottom w:w="0.0" w:type="dxa"/>
        <w:right w:w="115.0" w:type="dxa"/>
      </w:tblCellMar>
    </w:tblPr>
  </w:style>
  <w:style w:type="table" w:styleId="a6" w:customStyle="1">
    <w:basedOn w:val="TableNormal0"/>
    <w:tblPr>
      <w:tblStyleRowBandSize w:val="1"/>
      <w:tblStyleColBandSize w:val="1"/>
      <w:tblCellMar>
        <w:top w:w="0.0" w:type="dxa"/>
        <w:left w:w="115.0" w:type="dxa"/>
        <w:bottom w:w="0.0" w:type="dxa"/>
        <w:right w:w="115.0" w:type="dxa"/>
      </w:tblCellMar>
    </w:tblPr>
  </w:style>
  <w:style w:type="table" w:styleId="a7" w:customStyle="1">
    <w:basedOn w:val="TableNormal0"/>
    <w:tblPr>
      <w:tblStyleRowBandSize w:val="1"/>
      <w:tblStyleColBandSize w:val="1"/>
      <w:tblCellMar>
        <w:top w:w="0.0" w:type="dxa"/>
        <w:left w:w="115.0" w:type="dxa"/>
        <w:bottom w:w="0.0" w:type="dxa"/>
        <w:right w:w="115.0" w:type="dxa"/>
      </w:tblCellMar>
    </w:tblPr>
  </w:style>
  <w:style w:type="character" w:styleId="Hyperlink">
    <w:name w:val="Hyperlink"/>
    <w:basedOn w:val="DefaultParagraphFont"/>
    <w:uiPriority w:val="99"/>
    <w:unhideWhenUsed w:val="1"/>
    <w:rsid w:val="00B1173D"/>
    <w:rPr>
      <w:color w:val="0000ff" w:themeColor="hyperlink"/>
      <w:u w:val="single"/>
    </w:rPr>
  </w:style>
  <w:style w:type="character" w:styleId="UnresolvedMention">
    <w:name w:val="Unresolved Mention"/>
    <w:basedOn w:val="DefaultParagraphFont"/>
    <w:uiPriority w:val="99"/>
    <w:semiHidden w:val="1"/>
    <w:unhideWhenUsed w:val="1"/>
    <w:rsid w:val="00B1173D"/>
    <w:rPr>
      <w:color w:val="605e5c"/>
      <w:shd w:color="auto" w:fill="e1dfdd" w:val="clear"/>
    </w:rPr>
  </w:style>
  <w:style w:type="paragraph" w:styleId="ListParagraph">
    <w:name w:val="List Paragraph"/>
    <w:basedOn w:val="Normal"/>
    <w:uiPriority w:val="34"/>
    <w:qFormat w:val="1"/>
    <w:rsid w:val="009463D8"/>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iep.utm.edu/deductive-inductive-arguments/" TargetMode="External"/><Relationship Id="rId15" Type="http://schemas.openxmlformats.org/officeDocument/2006/relationships/footer" Target="footer1.xml"/><Relationship Id="rId1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PywLiyGxN9mSwHwrn3LJlrI0gg==">CgMxLjAyDmguY3puaWRobjR3NWpmOAByITFpSVN3Z0w5d1FrOXVmeGF3SGQ0WllpbUh1YmFnc1lFNA==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2026-01-21T19:52:00Z</dcterms:created>
</cp:coreProperties>
</file>